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F6725" w14:textId="77777777" w:rsidR="00202FFF" w:rsidRPr="00202FFF" w:rsidRDefault="00202FFF" w:rsidP="00202FFF">
      <w:pPr>
        <w:pBdr>
          <w:top w:val="nil"/>
          <w:left w:val="nil"/>
          <w:bottom w:val="nil"/>
          <w:right w:val="nil"/>
          <w:between w:val="nil"/>
          <w:bar w:val="nil"/>
        </w:pBdr>
        <w:jc w:val="center"/>
        <w:rPr>
          <w:rFonts w:ascii="Calibri" w:eastAsia="Calibri" w:hAnsi="Calibri" w:cs="Calibri"/>
          <w:b/>
          <w:bCs/>
          <w:smallCaps/>
          <w:color w:val="000000"/>
          <w:sz w:val="40"/>
          <w:szCs w:val="40"/>
          <w:u w:color="000000"/>
          <w:bdr w:val="nil"/>
        </w:rPr>
      </w:pPr>
      <w:bookmarkStart w:id="0" w:name="CulturalCompetency"/>
      <w:r w:rsidRPr="00202FFF">
        <w:rPr>
          <w:rFonts w:ascii="Calibri" w:eastAsia="Cambria" w:hAnsi="Calibri" w:cs="Cambria"/>
          <w:b/>
          <w:bCs/>
          <w:smallCaps/>
          <w:color w:val="000000"/>
          <w:sz w:val="40"/>
          <w:szCs w:val="40"/>
          <w:u w:color="000000"/>
          <w:bdr w:val="nil"/>
        </w:rPr>
        <w:t>2018 Cultural Competency Narrative</w:t>
      </w:r>
    </w:p>
    <w:bookmarkEnd w:id="0"/>
    <w:p w14:paraId="4F94E662" w14:textId="77777777" w:rsidR="00202FFF" w:rsidRPr="00202FFF" w:rsidRDefault="00202FFF" w:rsidP="00202FFF">
      <w:pPr>
        <w:pBdr>
          <w:top w:val="nil"/>
          <w:left w:val="nil"/>
          <w:bottom w:val="single" w:sz="6" w:space="0" w:color="000000"/>
          <w:right w:val="nil"/>
          <w:between w:val="nil"/>
          <w:bar w:val="nil"/>
        </w:pBdr>
        <w:jc w:val="center"/>
        <w:rPr>
          <w:rFonts w:ascii="Calibri" w:eastAsia="Calibri" w:hAnsi="Calibri" w:cs="Calibri"/>
          <w:b/>
          <w:bCs/>
          <w:smallCaps/>
          <w:color w:val="000000"/>
          <w:sz w:val="40"/>
          <w:szCs w:val="40"/>
          <w:u w:color="000000"/>
          <w:bdr w:val="nil"/>
        </w:rPr>
      </w:pPr>
      <w:r w:rsidRPr="00202FFF">
        <w:rPr>
          <w:rFonts w:ascii="Calibri" w:eastAsia="Cambria" w:hAnsi="Calibri" w:cs="Cambria"/>
          <w:b/>
          <w:bCs/>
          <w:smallCaps/>
          <w:color w:val="000000"/>
          <w:sz w:val="40"/>
          <w:szCs w:val="40"/>
          <w:u w:color="000000"/>
          <w:bdr w:val="nil"/>
        </w:rPr>
        <w:t>(for new projects)</w:t>
      </w:r>
    </w:p>
    <w:p w14:paraId="1E5725AE" w14:textId="77777777" w:rsidR="00202FFF" w:rsidRPr="00202FFF" w:rsidRDefault="00202FFF" w:rsidP="00202FFF">
      <w:pPr>
        <w:pBdr>
          <w:top w:val="nil"/>
          <w:left w:val="nil"/>
          <w:bottom w:val="nil"/>
          <w:right w:val="nil"/>
          <w:between w:val="nil"/>
          <w:bar w:val="nil"/>
        </w:pBdr>
        <w:rPr>
          <w:rFonts w:ascii="Calibri" w:eastAsia="Calibri" w:hAnsi="Calibri" w:cs="Calibri"/>
          <w:b/>
          <w:bCs/>
          <w:color w:val="FF0000"/>
          <w:u w:color="FF0000"/>
          <w:bdr w:val="nil"/>
        </w:rPr>
      </w:pPr>
      <w:r w:rsidRPr="00202FFF">
        <w:rPr>
          <w:rFonts w:ascii="Calibri" w:eastAsia="Times" w:hAnsi="Calibri" w:cs="Times"/>
          <w:b/>
          <w:bCs/>
          <w:color w:val="000000"/>
          <w:u w:color="000000"/>
          <w:bdr w:val="nil"/>
        </w:rPr>
        <w:t xml:space="preserve">Please answer the following questions on this document in no more than two pages, single-spaced, 12 point, Times New Roman font, </w:t>
      </w:r>
      <w:proofErr w:type="gramStart"/>
      <w:r w:rsidRPr="00202FFF">
        <w:rPr>
          <w:rFonts w:ascii="Calibri" w:eastAsia="Times" w:hAnsi="Calibri" w:cs="Times"/>
          <w:b/>
          <w:bCs/>
          <w:color w:val="000000"/>
          <w:u w:color="000000"/>
          <w:bdr w:val="nil"/>
        </w:rPr>
        <w:t>one inch</w:t>
      </w:r>
      <w:proofErr w:type="gramEnd"/>
      <w:r w:rsidRPr="00202FFF">
        <w:rPr>
          <w:rFonts w:ascii="Calibri" w:eastAsia="Times" w:hAnsi="Calibri" w:cs="Times"/>
          <w:b/>
          <w:bCs/>
          <w:color w:val="000000"/>
          <w:u w:color="000000"/>
          <w:bdr w:val="nil"/>
        </w:rPr>
        <w:t xml:space="preserve"> margins.  An electronic version of the form is available at: </w:t>
      </w:r>
      <w:hyperlink r:id="rId5" w:history="1">
        <w:r w:rsidRPr="00202FFF">
          <w:rPr>
            <w:rFonts w:ascii="Calibri" w:eastAsia="Calibri" w:hAnsi="Calibri" w:cs="Calibri"/>
            <w:b/>
            <w:color w:val="000000"/>
            <w:u w:val="single" w:color="0000FF"/>
            <w:bdr w:val="nil"/>
          </w:rPr>
          <w:t>http://hsh.sfgov.org/lhcb/2018-continuum-of-care-funding-competition/</w:t>
        </w:r>
      </w:hyperlink>
      <w:r w:rsidRPr="00202FFF">
        <w:rPr>
          <w:rFonts w:ascii="Calibri" w:eastAsia="Calibri" w:hAnsi="Calibri" w:cs="Calibri"/>
          <w:b/>
          <w:color w:val="0000FF"/>
          <w:u w:val="single" w:color="0000FF"/>
          <w:bdr w:val="nil"/>
        </w:rPr>
        <w:t xml:space="preserve">. </w:t>
      </w:r>
      <w:r w:rsidRPr="00202FFF">
        <w:rPr>
          <w:rFonts w:ascii="Calibri" w:eastAsia="Times" w:hAnsi="Calibri" w:cs="Times"/>
          <w:b/>
          <w:bCs/>
          <w:color w:val="000000"/>
          <w:u w:color="000000"/>
          <w:bdr w:val="nil"/>
        </w:rPr>
        <w:t>You will be able to type into that form.</w:t>
      </w:r>
    </w:p>
    <w:p w14:paraId="104D4327" w14:textId="77777777" w:rsidR="00202FFF" w:rsidRPr="00202FFF" w:rsidRDefault="00202FFF" w:rsidP="00202FFF">
      <w:pPr>
        <w:keepNext/>
        <w:numPr>
          <w:ilvl w:val="0"/>
          <w:numId w:val="2"/>
        </w:numPr>
        <w:pBdr>
          <w:top w:val="nil"/>
          <w:left w:val="nil"/>
          <w:bottom w:val="nil"/>
          <w:right w:val="nil"/>
          <w:between w:val="nil"/>
          <w:bar w:val="nil"/>
        </w:pBdr>
        <w:spacing w:before="120" w:after="120"/>
        <w:outlineLvl w:val="1"/>
        <w:rPr>
          <w:rFonts w:ascii="Calibri" w:eastAsia="Calibri" w:hAnsi="Calibri" w:cs="Calibri"/>
          <w:color w:val="000000"/>
          <w:u w:color="000000"/>
          <w:bdr w:val="nil"/>
        </w:rPr>
      </w:pPr>
      <w:r w:rsidRPr="00202FFF">
        <w:rPr>
          <w:rFonts w:ascii="Calibri" w:eastAsia="Arial Unicode MS" w:hAnsi="Calibri" w:cs="Arial Unicode MS"/>
          <w:color w:val="000000"/>
          <w:u w:color="000000"/>
          <w:bdr w:val="nil"/>
        </w:rPr>
        <w:t xml:space="preserve">Describe the ways in which your current and former clients are involved in the design and operation of the program. Be specific, e.g., advisory board, alumni advisors, resident meetings, regular formal feedback, etc.  Please be sure to attach any written policies regarding client participation (to align with HEARTH).   </w:t>
      </w:r>
    </w:p>
    <w:p w14:paraId="7F15F8D2" w14:textId="77777777" w:rsidR="00202FFF" w:rsidRPr="00202FFF" w:rsidRDefault="00202FFF" w:rsidP="00202FFF">
      <w:pPr>
        <w:keepNext/>
        <w:numPr>
          <w:ilvl w:val="0"/>
          <w:numId w:val="2"/>
        </w:numPr>
        <w:pBdr>
          <w:top w:val="nil"/>
          <w:left w:val="nil"/>
          <w:bottom w:val="nil"/>
          <w:right w:val="nil"/>
          <w:between w:val="nil"/>
          <w:bar w:val="nil"/>
        </w:pBdr>
        <w:spacing w:before="120" w:after="120"/>
        <w:outlineLvl w:val="1"/>
        <w:rPr>
          <w:rFonts w:ascii="Calibri" w:eastAsia="Calibri" w:hAnsi="Calibri" w:cs="Calibri"/>
          <w:color w:val="000000"/>
          <w:u w:color="000000"/>
          <w:bdr w:val="nil"/>
        </w:rPr>
      </w:pPr>
      <w:r w:rsidRPr="00202FFF">
        <w:rPr>
          <w:rFonts w:ascii="Calibri" w:eastAsia="Arial Unicode MS" w:hAnsi="Calibri" w:cs="Arial Unicode MS"/>
          <w:color w:val="000000"/>
          <w:u w:color="000000"/>
          <w:bdr w:val="nil"/>
        </w:rPr>
        <w:t xml:space="preserve">How does your </w:t>
      </w:r>
      <w:r w:rsidRPr="00202FFF">
        <w:rPr>
          <w:rFonts w:ascii="Calibri" w:eastAsia="Arial Unicode MS" w:hAnsi="Calibri" w:cs="Arial Unicode MS"/>
          <w:color w:val="000000"/>
          <w:u w:val="single" w:color="000000"/>
          <w:bdr w:val="nil"/>
        </w:rPr>
        <w:t>method</w:t>
      </w:r>
      <w:r w:rsidRPr="00202FFF">
        <w:rPr>
          <w:rFonts w:ascii="Calibri" w:eastAsia="Arial Unicode MS" w:hAnsi="Calibri" w:cs="Arial Unicode MS"/>
          <w:color w:val="000000"/>
          <w:u w:color="000000"/>
          <w:bdr w:val="nil"/>
        </w:rPr>
        <w:t xml:space="preserve"> of service delivery take into account the particular characteristics of the clients you will house and serve?  For programs serving children in the program, please include information about how you ensure that educational needs of children are met (to align with HEARTH). For persons with disabilities, provide examples of what programs or activities are offered to enable individuals with disabilities to interact with persons without disabilities. Please be sure to attach any written policies you have on this issue.</w:t>
      </w:r>
    </w:p>
    <w:p w14:paraId="08F77F56" w14:textId="77777777" w:rsidR="00202FFF" w:rsidRPr="00202FFF" w:rsidRDefault="00202FFF" w:rsidP="00202FFF">
      <w:pPr>
        <w:keepNext/>
        <w:numPr>
          <w:ilvl w:val="0"/>
          <w:numId w:val="2"/>
        </w:numPr>
        <w:pBdr>
          <w:top w:val="nil"/>
          <w:left w:val="nil"/>
          <w:bottom w:val="nil"/>
          <w:right w:val="nil"/>
          <w:between w:val="nil"/>
          <w:bar w:val="nil"/>
        </w:pBdr>
        <w:spacing w:before="120" w:after="120"/>
        <w:outlineLvl w:val="1"/>
        <w:rPr>
          <w:rFonts w:ascii="Calibri" w:eastAsia="Calibri" w:hAnsi="Calibri" w:cs="Calibri"/>
          <w:color w:val="000000"/>
          <w:u w:color="000000"/>
          <w:bdr w:val="nil"/>
        </w:rPr>
      </w:pPr>
      <w:r w:rsidRPr="00202FFF">
        <w:rPr>
          <w:rFonts w:ascii="Calibri" w:eastAsia="Arial Unicode MS" w:hAnsi="Calibri" w:cs="Arial Unicode MS"/>
          <w:color w:val="000000"/>
          <w:u w:color="000000"/>
          <w:bdr w:val="nil"/>
        </w:rPr>
        <w:t>How do clients find out about the program?</w:t>
      </w:r>
    </w:p>
    <w:p w14:paraId="19DCC137" w14:textId="77777777" w:rsidR="00202FFF" w:rsidRPr="00202FFF" w:rsidRDefault="00202FFF" w:rsidP="00202FFF">
      <w:pPr>
        <w:keepNext/>
        <w:numPr>
          <w:ilvl w:val="0"/>
          <w:numId w:val="2"/>
        </w:numPr>
        <w:pBdr>
          <w:top w:val="nil"/>
          <w:left w:val="nil"/>
          <w:bottom w:val="nil"/>
          <w:right w:val="nil"/>
          <w:between w:val="nil"/>
          <w:bar w:val="nil"/>
        </w:pBdr>
        <w:spacing w:before="120" w:after="120"/>
        <w:outlineLvl w:val="1"/>
        <w:rPr>
          <w:rFonts w:ascii="Calibri" w:eastAsia="Calibri" w:hAnsi="Calibri" w:cs="Calibri"/>
          <w:color w:val="000000"/>
          <w:u w:color="000000"/>
          <w:bdr w:val="nil"/>
        </w:rPr>
      </w:pPr>
      <w:r w:rsidRPr="00202FFF">
        <w:rPr>
          <w:rFonts w:ascii="Calibri" w:eastAsia="Arial Unicode MS" w:hAnsi="Calibri" w:cs="Arial Unicode MS"/>
          <w:color w:val="000000"/>
          <w:u w:color="000000"/>
          <w:bdr w:val="nil"/>
        </w:rPr>
        <w:t>Program design is intentionally inclusive of and accessible to all eligible clients and amenities (e.g. grocery stores, pharmacies, etc.) are accessible in the community.</w:t>
      </w:r>
    </w:p>
    <w:p w14:paraId="44ED0C95" w14:textId="77777777" w:rsidR="00202FFF" w:rsidRPr="00202FFF" w:rsidRDefault="00202FFF" w:rsidP="00202FFF">
      <w:pPr>
        <w:numPr>
          <w:ilvl w:val="0"/>
          <w:numId w:val="2"/>
        </w:numPr>
        <w:pBdr>
          <w:top w:val="nil"/>
          <w:left w:val="nil"/>
          <w:bottom w:val="nil"/>
          <w:right w:val="nil"/>
          <w:between w:val="nil"/>
          <w:bar w:val="nil"/>
        </w:pBdr>
        <w:spacing w:before="120" w:after="120"/>
        <w:outlineLvl w:val="1"/>
        <w:rPr>
          <w:rFonts w:ascii="Calibri" w:eastAsia="Calibri" w:hAnsi="Calibri" w:cs="Calibri"/>
          <w:color w:val="000000"/>
          <w:u w:color="000000"/>
          <w:bdr w:val="nil"/>
        </w:rPr>
      </w:pPr>
      <w:r w:rsidRPr="00202FFF">
        <w:rPr>
          <w:rFonts w:ascii="Calibri" w:eastAsia="Arial Unicode MS" w:hAnsi="Calibri" w:cs="Arial Unicode MS"/>
          <w:color w:val="000000"/>
          <w:u w:color="000000"/>
          <w:bdr w:val="nil"/>
        </w:rPr>
        <w:t xml:space="preserve">What do clients need in order to enroll in the program? What are the reasons clients are not accepted into the program? Do you document </w:t>
      </w:r>
      <w:proofErr w:type="spellStart"/>
      <w:r w:rsidRPr="00202FFF">
        <w:rPr>
          <w:rFonts w:ascii="Calibri" w:eastAsia="Arial Unicode MS" w:hAnsi="Calibri" w:cs="Arial Unicode MS"/>
          <w:color w:val="000000"/>
          <w:u w:color="000000"/>
          <w:bdr w:val="nil"/>
        </w:rPr>
        <w:t>turnaways</w:t>
      </w:r>
      <w:proofErr w:type="spellEnd"/>
      <w:r w:rsidRPr="00202FFF">
        <w:rPr>
          <w:rFonts w:ascii="Calibri" w:eastAsia="Arial Unicode MS" w:hAnsi="Calibri" w:cs="Arial Unicode MS"/>
          <w:color w:val="000000"/>
          <w:u w:color="000000"/>
          <w:bdr w:val="nil"/>
        </w:rPr>
        <w:t>? Do you maintain waiting lists? Describe.</w:t>
      </w:r>
    </w:p>
    <w:p w14:paraId="55089368" w14:textId="77777777" w:rsidR="00202FFF" w:rsidRPr="00202FFF" w:rsidRDefault="00202FFF" w:rsidP="00202FFF">
      <w:pPr>
        <w:numPr>
          <w:ilvl w:val="0"/>
          <w:numId w:val="2"/>
        </w:numPr>
        <w:pBdr>
          <w:top w:val="nil"/>
          <w:left w:val="nil"/>
          <w:bottom w:val="nil"/>
          <w:right w:val="nil"/>
          <w:between w:val="nil"/>
          <w:bar w:val="nil"/>
        </w:pBdr>
        <w:spacing w:before="120" w:after="120"/>
        <w:outlineLvl w:val="1"/>
        <w:rPr>
          <w:rFonts w:ascii="Calibri" w:eastAsia="Calibri" w:hAnsi="Calibri" w:cs="Calibri"/>
          <w:color w:val="000000"/>
          <w:u w:color="000000"/>
          <w:bdr w:val="nil"/>
        </w:rPr>
      </w:pPr>
      <w:r w:rsidRPr="00202FFF">
        <w:rPr>
          <w:rFonts w:ascii="Calibri" w:eastAsia="Arial Unicode MS" w:hAnsi="Calibri" w:cs="Arial Unicode MS"/>
          <w:color w:val="000000"/>
          <w:u w:color="000000"/>
          <w:bdr w:val="nil"/>
        </w:rPr>
        <w:t>Describe the neighborhood and building where the program is located. How do clients get to the program? (e.g., MUNI access.)</w:t>
      </w:r>
    </w:p>
    <w:p w14:paraId="450BF078" w14:textId="77777777" w:rsidR="00202FFF" w:rsidRPr="00202FFF" w:rsidRDefault="00202FFF" w:rsidP="00202FFF">
      <w:pPr>
        <w:numPr>
          <w:ilvl w:val="0"/>
          <w:numId w:val="2"/>
        </w:numPr>
        <w:pBdr>
          <w:top w:val="nil"/>
          <w:left w:val="nil"/>
          <w:bottom w:val="nil"/>
          <w:right w:val="nil"/>
          <w:between w:val="nil"/>
          <w:bar w:val="nil"/>
        </w:pBdr>
        <w:spacing w:before="120" w:after="120"/>
        <w:outlineLvl w:val="1"/>
        <w:rPr>
          <w:rFonts w:ascii="Calibri" w:eastAsia="Calibri" w:hAnsi="Calibri" w:cs="Calibri"/>
          <w:color w:val="000000"/>
          <w:u w:color="000000"/>
          <w:bdr w:val="nil"/>
        </w:rPr>
      </w:pPr>
      <w:r w:rsidRPr="00202FFF">
        <w:rPr>
          <w:rFonts w:ascii="Calibri" w:eastAsia="Arial Unicode MS" w:hAnsi="Calibri" w:cs="Arial Unicode MS"/>
          <w:color w:val="000000"/>
          <w:u w:color="000000"/>
          <w:bdr w:val="nil"/>
        </w:rPr>
        <w:t xml:space="preserve">Attach the following: </w:t>
      </w:r>
    </w:p>
    <w:p w14:paraId="761516D0" w14:textId="77777777" w:rsidR="00202FFF" w:rsidRPr="00202FFF" w:rsidRDefault="00202FFF" w:rsidP="00202FFF">
      <w:pPr>
        <w:numPr>
          <w:ilvl w:val="0"/>
          <w:numId w:val="4"/>
        </w:numPr>
        <w:pBdr>
          <w:top w:val="nil"/>
          <w:left w:val="nil"/>
          <w:bottom w:val="nil"/>
          <w:right w:val="nil"/>
          <w:between w:val="nil"/>
          <w:bar w:val="nil"/>
        </w:pBdr>
        <w:rPr>
          <w:rFonts w:ascii="Calibri" w:eastAsia="Calibri" w:hAnsi="Calibri" w:cs="Calibri"/>
          <w:color w:val="000000"/>
          <w:u w:color="000000"/>
          <w:bdr w:val="nil"/>
        </w:rPr>
      </w:pPr>
      <w:r w:rsidRPr="00202FFF">
        <w:rPr>
          <w:rFonts w:ascii="Calibri" w:eastAsia="Cambria" w:hAnsi="Calibri" w:cs="Cambria"/>
          <w:color w:val="000000"/>
          <w:u w:color="000000"/>
          <w:bdr w:val="nil"/>
        </w:rPr>
        <w:t>Outreach materials</w:t>
      </w:r>
    </w:p>
    <w:p w14:paraId="221926FF" w14:textId="77777777" w:rsidR="00202FFF" w:rsidRPr="00202FFF" w:rsidRDefault="00202FFF" w:rsidP="00202FFF">
      <w:pPr>
        <w:numPr>
          <w:ilvl w:val="0"/>
          <w:numId w:val="4"/>
        </w:numPr>
        <w:pBdr>
          <w:top w:val="nil"/>
          <w:left w:val="nil"/>
          <w:bottom w:val="nil"/>
          <w:right w:val="nil"/>
          <w:between w:val="nil"/>
          <w:bar w:val="nil"/>
        </w:pBdr>
        <w:rPr>
          <w:rFonts w:ascii="Calibri" w:eastAsia="Calibri" w:hAnsi="Calibri" w:cs="Calibri"/>
          <w:color w:val="000000"/>
          <w:u w:color="000000"/>
          <w:bdr w:val="nil"/>
        </w:rPr>
      </w:pPr>
      <w:r w:rsidRPr="00202FFF">
        <w:rPr>
          <w:rFonts w:ascii="Calibri" w:eastAsia="Cambria" w:hAnsi="Calibri" w:cs="Cambria"/>
          <w:color w:val="000000"/>
          <w:u w:color="000000"/>
          <w:bdr w:val="nil"/>
        </w:rPr>
        <w:t>Eligibility criteria</w:t>
      </w:r>
    </w:p>
    <w:p w14:paraId="39F9BAD0" w14:textId="77777777" w:rsidR="00202FFF" w:rsidRPr="00202FFF" w:rsidRDefault="00202FFF" w:rsidP="00202FFF">
      <w:pPr>
        <w:numPr>
          <w:ilvl w:val="0"/>
          <w:numId w:val="4"/>
        </w:numPr>
        <w:pBdr>
          <w:top w:val="nil"/>
          <w:left w:val="nil"/>
          <w:bottom w:val="nil"/>
          <w:right w:val="nil"/>
          <w:between w:val="nil"/>
          <w:bar w:val="nil"/>
        </w:pBdr>
        <w:rPr>
          <w:rFonts w:ascii="Calibri" w:eastAsia="Calibri" w:hAnsi="Calibri" w:cs="Calibri"/>
          <w:color w:val="000000"/>
          <w:u w:color="000000"/>
          <w:bdr w:val="nil"/>
        </w:rPr>
      </w:pPr>
      <w:r w:rsidRPr="00202FFF">
        <w:rPr>
          <w:rFonts w:ascii="Calibri" w:eastAsia="Cambria" w:hAnsi="Calibri" w:cs="Cambria"/>
          <w:color w:val="000000"/>
          <w:u w:color="000000"/>
          <w:bdr w:val="nil"/>
        </w:rPr>
        <w:t>Rules of the program</w:t>
      </w:r>
    </w:p>
    <w:p w14:paraId="3C807D8D" w14:textId="77777777" w:rsidR="00202FFF" w:rsidRPr="00202FFF" w:rsidRDefault="00202FFF" w:rsidP="00202FFF">
      <w:pPr>
        <w:numPr>
          <w:ilvl w:val="0"/>
          <w:numId w:val="4"/>
        </w:numPr>
        <w:pBdr>
          <w:top w:val="nil"/>
          <w:left w:val="nil"/>
          <w:bottom w:val="nil"/>
          <w:right w:val="nil"/>
          <w:between w:val="nil"/>
          <w:bar w:val="nil"/>
        </w:pBdr>
        <w:rPr>
          <w:rFonts w:ascii="Calibri" w:eastAsia="Calibri" w:hAnsi="Calibri" w:cs="Calibri"/>
          <w:color w:val="000000"/>
          <w:u w:color="000000"/>
          <w:bdr w:val="nil"/>
        </w:rPr>
      </w:pPr>
      <w:r w:rsidRPr="00202FFF">
        <w:rPr>
          <w:rFonts w:ascii="Calibri" w:eastAsia="Cambria" w:hAnsi="Calibri" w:cs="Cambria"/>
          <w:color w:val="000000"/>
          <w:u w:color="000000"/>
          <w:bdr w:val="nil"/>
        </w:rPr>
        <w:t>Expulsion criteria</w:t>
      </w:r>
    </w:p>
    <w:p w14:paraId="285D68B6" w14:textId="77777777" w:rsidR="00202FFF" w:rsidRPr="00202FFF" w:rsidRDefault="00202FFF" w:rsidP="00202FFF">
      <w:pPr>
        <w:numPr>
          <w:ilvl w:val="0"/>
          <w:numId w:val="4"/>
        </w:numPr>
        <w:pBdr>
          <w:top w:val="nil"/>
          <w:left w:val="nil"/>
          <w:bottom w:val="nil"/>
          <w:right w:val="nil"/>
          <w:between w:val="nil"/>
          <w:bar w:val="nil"/>
        </w:pBdr>
        <w:rPr>
          <w:rFonts w:ascii="Calibri" w:eastAsia="Calibri" w:hAnsi="Calibri" w:cs="Calibri"/>
          <w:color w:val="000000"/>
          <w:u w:color="000000"/>
          <w:bdr w:val="nil"/>
        </w:rPr>
      </w:pPr>
      <w:r w:rsidRPr="00202FFF">
        <w:rPr>
          <w:rFonts w:ascii="Calibri" w:eastAsia="Cambria" w:hAnsi="Calibri" w:cs="Cambria"/>
          <w:color w:val="000000"/>
          <w:u w:color="000000"/>
          <w:bdr w:val="nil"/>
        </w:rPr>
        <w:t>Denial of Service Policy</w:t>
      </w:r>
    </w:p>
    <w:p w14:paraId="2286C378" w14:textId="77777777" w:rsidR="00202FFF" w:rsidRPr="00202FFF" w:rsidRDefault="00202FFF" w:rsidP="00202FFF">
      <w:pPr>
        <w:numPr>
          <w:ilvl w:val="0"/>
          <w:numId w:val="4"/>
        </w:numPr>
        <w:pBdr>
          <w:top w:val="nil"/>
          <w:left w:val="nil"/>
          <w:bottom w:val="nil"/>
          <w:right w:val="nil"/>
          <w:between w:val="nil"/>
          <w:bar w:val="nil"/>
        </w:pBdr>
        <w:rPr>
          <w:rFonts w:ascii="Calibri" w:eastAsia="Calibri" w:hAnsi="Calibri" w:cs="Calibri"/>
          <w:color w:val="000000"/>
          <w:u w:color="000000"/>
          <w:bdr w:val="nil"/>
        </w:rPr>
      </w:pPr>
      <w:r w:rsidRPr="00202FFF">
        <w:rPr>
          <w:rFonts w:ascii="Calibri" w:eastAsia="Cambria" w:hAnsi="Calibri" w:cs="Cambria"/>
          <w:color w:val="000000"/>
          <w:u w:color="000000"/>
          <w:bdr w:val="nil"/>
        </w:rPr>
        <w:t>Grievance/complaint procedure</w:t>
      </w:r>
    </w:p>
    <w:p w14:paraId="270592A9" w14:textId="77777777" w:rsidR="00202FFF" w:rsidRPr="00202FFF" w:rsidRDefault="00202FFF" w:rsidP="00202FFF">
      <w:pPr>
        <w:numPr>
          <w:ilvl w:val="0"/>
          <w:numId w:val="4"/>
        </w:numPr>
        <w:pBdr>
          <w:top w:val="nil"/>
          <w:left w:val="nil"/>
          <w:bottom w:val="nil"/>
          <w:right w:val="nil"/>
          <w:between w:val="nil"/>
          <w:bar w:val="nil"/>
        </w:pBdr>
        <w:rPr>
          <w:rFonts w:ascii="Calibri" w:eastAsia="Calibri" w:hAnsi="Calibri" w:cs="Calibri"/>
          <w:color w:val="000000"/>
          <w:u w:color="000000"/>
          <w:bdr w:val="nil"/>
        </w:rPr>
      </w:pPr>
      <w:r w:rsidRPr="00202FFF">
        <w:rPr>
          <w:rFonts w:ascii="Calibri" w:eastAsia="Cambria" w:hAnsi="Calibri" w:cs="Cambria"/>
          <w:color w:val="000000"/>
          <w:u w:color="000000"/>
          <w:bdr w:val="nil"/>
        </w:rPr>
        <w:t>Client feedback procedures in place</w:t>
      </w:r>
    </w:p>
    <w:p w14:paraId="1BD81C7D" w14:textId="77777777" w:rsidR="00202FFF" w:rsidRPr="00202FFF" w:rsidRDefault="00202FFF" w:rsidP="00202FFF">
      <w:pPr>
        <w:numPr>
          <w:ilvl w:val="0"/>
          <w:numId w:val="4"/>
        </w:numPr>
        <w:pBdr>
          <w:top w:val="nil"/>
          <w:left w:val="nil"/>
          <w:bottom w:val="nil"/>
          <w:right w:val="nil"/>
          <w:between w:val="nil"/>
          <w:bar w:val="nil"/>
        </w:pBdr>
        <w:rPr>
          <w:rFonts w:ascii="Calibri" w:eastAsia="Calibri" w:hAnsi="Calibri" w:cs="Calibri"/>
          <w:color w:val="000000"/>
          <w:u w:color="000000"/>
          <w:bdr w:val="nil"/>
        </w:rPr>
      </w:pPr>
      <w:r w:rsidRPr="00202FFF">
        <w:rPr>
          <w:rFonts w:ascii="Calibri" w:eastAsia="Cambria" w:hAnsi="Calibri" w:cs="Cambria"/>
          <w:color w:val="000000"/>
          <w:u w:color="000000"/>
          <w:bdr w:val="nil"/>
        </w:rPr>
        <w:t>Client confidentiality, especially for special populations such as survivors of domestic violence</w:t>
      </w:r>
    </w:p>
    <w:p w14:paraId="4CC998A3" w14:textId="77777777" w:rsidR="00202FFF" w:rsidRPr="00202FFF" w:rsidRDefault="00202FFF" w:rsidP="00202FFF">
      <w:pPr>
        <w:numPr>
          <w:ilvl w:val="0"/>
          <w:numId w:val="4"/>
        </w:numPr>
        <w:pBdr>
          <w:top w:val="nil"/>
          <w:left w:val="nil"/>
          <w:bottom w:val="nil"/>
          <w:right w:val="nil"/>
          <w:between w:val="nil"/>
          <w:bar w:val="nil"/>
        </w:pBdr>
        <w:rPr>
          <w:rFonts w:ascii="Calibri" w:eastAsia="Calibri" w:hAnsi="Calibri" w:cs="Calibri"/>
          <w:color w:val="000000"/>
          <w:u w:color="000000"/>
          <w:bdr w:val="nil"/>
        </w:rPr>
      </w:pPr>
      <w:r w:rsidRPr="00202FFF">
        <w:rPr>
          <w:rFonts w:ascii="Calibri" w:eastAsia="Cambria" w:hAnsi="Calibri" w:cs="Cambria"/>
          <w:color w:val="000000"/>
          <w:u w:color="000000"/>
          <w:bdr w:val="nil"/>
        </w:rPr>
        <w:t>Attach any other related policies, especially related to:</w:t>
      </w:r>
    </w:p>
    <w:p w14:paraId="6CF18C04" w14:textId="77777777" w:rsidR="00202FFF" w:rsidRPr="00202FFF" w:rsidRDefault="00202FFF" w:rsidP="00202FFF">
      <w:pPr>
        <w:numPr>
          <w:ilvl w:val="1"/>
          <w:numId w:val="4"/>
        </w:numPr>
        <w:pBdr>
          <w:top w:val="nil"/>
          <w:left w:val="nil"/>
          <w:bottom w:val="nil"/>
          <w:right w:val="nil"/>
          <w:between w:val="nil"/>
          <w:bar w:val="nil"/>
        </w:pBdr>
        <w:rPr>
          <w:rFonts w:ascii="Calibri" w:eastAsia="Calibri" w:hAnsi="Calibri" w:cs="Calibri"/>
          <w:color w:val="000000"/>
          <w:u w:color="000000"/>
          <w:bdr w:val="nil"/>
        </w:rPr>
      </w:pPr>
      <w:r w:rsidRPr="00202FFF">
        <w:rPr>
          <w:rFonts w:ascii="Calibri" w:eastAsia="Cambria" w:hAnsi="Calibri" w:cs="Cambria"/>
          <w:color w:val="000000"/>
          <w:u w:color="000000"/>
          <w:bdr w:val="nil"/>
        </w:rPr>
        <w:t>Client involvement in program design and operation</w:t>
      </w:r>
    </w:p>
    <w:p w14:paraId="09955763" w14:textId="77777777" w:rsidR="00202FFF" w:rsidRPr="00202FFF" w:rsidRDefault="00202FFF" w:rsidP="00202FFF">
      <w:pPr>
        <w:numPr>
          <w:ilvl w:val="1"/>
          <w:numId w:val="4"/>
        </w:numPr>
        <w:pBdr>
          <w:top w:val="nil"/>
          <w:left w:val="nil"/>
          <w:bottom w:val="nil"/>
          <w:right w:val="nil"/>
          <w:between w:val="nil"/>
          <w:bar w:val="nil"/>
        </w:pBdr>
        <w:rPr>
          <w:rFonts w:ascii="Calibri" w:eastAsia="Calibri" w:hAnsi="Calibri" w:cs="Calibri"/>
          <w:color w:val="000000"/>
          <w:u w:color="000000"/>
          <w:bdr w:val="nil"/>
        </w:rPr>
      </w:pPr>
      <w:r w:rsidRPr="00202FFF">
        <w:rPr>
          <w:rFonts w:ascii="Calibri" w:eastAsia="Cambria" w:hAnsi="Calibri" w:cs="Cambria"/>
          <w:color w:val="000000"/>
          <w:u w:color="000000"/>
          <w:bdr w:val="nil"/>
        </w:rPr>
        <w:t>Meeting children’s educational needs</w:t>
      </w:r>
    </w:p>
    <w:p w14:paraId="747A9736" w14:textId="41463407" w:rsidR="001A2AE2" w:rsidRDefault="00202FFF" w:rsidP="00202FFF">
      <w:r w:rsidRPr="00202FFF">
        <w:rPr>
          <w:rFonts w:ascii="Calibri" w:eastAsia="Arial Unicode MS" w:hAnsi="Calibri" w:cs="Times New Roman"/>
          <w:bdr w:val="nil"/>
        </w:rPr>
        <w:t>Meeting the need of individuals with disabilities</w:t>
      </w:r>
      <w:bookmarkStart w:id="1" w:name="_GoBack"/>
      <w:bookmarkEnd w:id="1"/>
    </w:p>
    <w:sectPr w:rsidR="001A2AE2" w:rsidSect="00D52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A1F8C"/>
    <w:multiLevelType w:val="hybridMultilevel"/>
    <w:tmpl w:val="034E078A"/>
    <w:styleLink w:val="ImportedStyle15"/>
    <w:lvl w:ilvl="0" w:tplc="9F842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4AB1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992CB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36211D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55C6E9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448CC6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70A00F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ED8CB9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E8A311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2971B6"/>
    <w:multiLevelType w:val="hybridMultilevel"/>
    <w:tmpl w:val="512C944A"/>
    <w:styleLink w:val="ImportedStyle14"/>
    <w:lvl w:ilvl="0" w:tplc="51EC396A">
      <w:start w:val="1"/>
      <w:numFmt w:val="lowerLetter"/>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3583B70">
      <w:start w:val="1"/>
      <w:numFmt w:val="lowerLetter"/>
      <w:lvlText w:val="%2."/>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BFAC692">
      <w:start w:val="1"/>
      <w:numFmt w:val="lowerRoman"/>
      <w:lvlText w:val="%3."/>
      <w:lvlJc w:val="left"/>
      <w:pPr>
        <w:tabs>
          <w:tab w:val="left" w:pos="360"/>
        </w:tabs>
        <w:ind w:left="1440" w:hanging="6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FDE6DAA">
      <w:start w:val="1"/>
      <w:numFmt w:val="decimal"/>
      <w:lvlText w:val="%4."/>
      <w:lvlJc w:val="left"/>
      <w:pPr>
        <w:tabs>
          <w:tab w:val="left" w:pos="360"/>
        </w:tabs>
        <w:ind w:left="216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4AE9F14">
      <w:start w:val="1"/>
      <w:numFmt w:val="lowerLetter"/>
      <w:lvlText w:val="%5."/>
      <w:lvlJc w:val="left"/>
      <w:pPr>
        <w:tabs>
          <w:tab w:val="left" w:pos="360"/>
        </w:tabs>
        <w:ind w:left="288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294A7BE">
      <w:start w:val="1"/>
      <w:numFmt w:val="lowerRoman"/>
      <w:lvlText w:val="%6."/>
      <w:lvlJc w:val="left"/>
      <w:pPr>
        <w:tabs>
          <w:tab w:val="left" w:pos="360"/>
        </w:tabs>
        <w:ind w:left="3600" w:hanging="6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4A6E7C0">
      <w:start w:val="1"/>
      <w:numFmt w:val="decimal"/>
      <w:lvlText w:val="%7."/>
      <w:lvlJc w:val="left"/>
      <w:pPr>
        <w:tabs>
          <w:tab w:val="left" w:pos="360"/>
        </w:tabs>
        <w:ind w:left="43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0C4569C">
      <w:start w:val="1"/>
      <w:numFmt w:val="lowerLetter"/>
      <w:lvlText w:val="%8."/>
      <w:lvlJc w:val="left"/>
      <w:pPr>
        <w:tabs>
          <w:tab w:val="left" w:pos="360"/>
        </w:tabs>
        <w:ind w:left="504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93C8D22">
      <w:start w:val="1"/>
      <w:numFmt w:val="lowerRoman"/>
      <w:lvlText w:val="%9."/>
      <w:lvlJc w:val="left"/>
      <w:pPr>
        <w:tabs>
          <w:tab w:val="left" w:pos="360"/>
        </w:tabs>
        <w:ind w:left="5760" w:hanging="6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C3A2C78"/>
    <w:multiLevelType w:val="hybridMultilevel"/>
    <w:tmpl w:val="034E078A"/>
    <w:numStyleLink w:val="ImportedStyle15"/>
  </w:abstractNum>
  <w:abstractNum w:abstractNumId="3" w15:restartNumberingAfterBreak="0">
    <w:nsid w:val="7B6227E9"/>
    <w:multiLevelType w:val="hybridMultilevel"/>
    <w:tmpl w:val="512C944A"/>
    <w:numStyleLink w:val="ImportedStyle14"/>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FF"/>
    <w:rsid w:val="001A2AE2"/>
    <w:rsid w:val="00202FFF"/>
    <w:rsid w:val="005A7DE5"/>
    <w:rsid w:val="00D5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B67E"/>
  <w15:chartTrackingRefBased/>
  <w15:docId w15:val="{D3390302-8616-CA40-BA6A-D6FD6F94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4">
    <w:name w:val="Imported Style 14"/>
    <w:rsid w:val="00202FFF"/>
    <w:pPr>
      <w:numPr>
        <w:numId w:val="1"/>
      </w:numPr>
    </w:pPr>
  </w:style>
  <w:style w:type="numbering" w:customStyle="1" w:styleId="ImportedStyle15">
    <w:name w:val="Imported Style 15"/>
    <w:rsid w:val="00202FF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sh.sfgov.org/lhcb/2018-continuum-of-care-funding-compet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dc:creator>
  <cp:keywords/>
  <dc:description/>
  <cp:lastModifiedBy>Aram</cp:lastModifiedBy>
  <cp:revision>1</cp:revision>
  <dcterms:created xsi:type="dcterms:W3CDTF">2018-07-16T22:03:00Z</dcterms:created>
  <dcterms:modified xsi:type="dcterms:W3CDTF">2018-07-16T22:03:00Z</dcterms:modified>
</cp:coreProperties>
</file>